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1F" w:rsidRPr="00081A1F" w:rsidRDefault="00081A1F" w:rsidP="00081A1F">
      <w:pPr>
        <w:jc w:val="center"/>
        <w:rPr>
          <w:b/>
          <w:sz w:val="24"/>
          <w:szCs w:val="24"/>
        </w:rPr>
      </w:pPr>
      <w:r w:rsidRPr="00081A1F">
        <w:rPr>
          <w:b/>
          <w:sz w:val="24"/>
          <w:szCs w:val="24"/>
        </w:rPr>
        <w:t>Sophia Tidler</w:t>
      </w:r>
    </w:p>
    <w:p w:rsidR="00076A3C" w:rsidRPr="00081A1F" w:rsidRDefault="003D52BB" w:rsidP="00BC3EDB">
      <w:pPr>
        <w:jc w:val="center"/>
        <w:rPr>
          <w:rFonts w:ascii="Segoe UI" w:hAnsi="Segoe UI" w:cs="Segoe UI"/>
          <w:b/>
          <w:color w:val="000000"/>
          <w:sz w:val="24"/>
          <w:szCs w:val="24"/>
        </w:rPr>
      </w:pPr>
      <w:r>
        <w:rPr>
          <w:rFonts w:ascii="Segoe UI" w:hAnsi="Segoe UI" w:cs="Segoe UI"/>
          <w:b/>
          <w:color w:val="000000"/>
          <w:sz w:val="24"/>
          <w:szCs w:val="24"/>
        </w:rPr>
        <w:t>FAA</w:t>
      </w:r>
    </w:p>
    <w:p w:rsidR="00D471B8" w:rsidRDefault="00B51DAF" w:rsidP="009A5555">
      <w:pPr>
        <w:spacing w:after="0"/>
        <w:contextualSpacing/>
        <w:rPr>
          <w:sz w:val="24"/>
          <w:szCs w:val="24"/>
        </w:rPr>
      </w:pPr>
      <w:r w:rsidRPr="00EF40FA">
        <w:rPr>
          <w:b/>
          <w:sz w:val="24"/>
          <w:szCs w:val="24"/>
          <w:u w:val="single"/>
        </w:rPr>
        <w:t>Summary:</w:t>
      </w:r>
      <w:r>
        <w:rPr>
          <w:sz w:val="24"/>
          <w:szCs w:val="24"/>
        </w:rPr>
        <w:t xml:space="preserve">  </w:t>
      </w:r>
    </w:p>
    <w:p w:rsidR="00076A3C" w:rsidRDefault="003B601A" w:rsidP="00D471B8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primary objective of the Federal Aviation Administration (FAA) </w:t>
      </w:r>
      <w:r w:rsidR="004F41FE">
        <w:rPr>
          <w:sz w:val="24"/>
          <w:szCs w:val="24"/>
        </w:rPr>
        <w:t>is</w:t>
      </w:r>
      <w:r>
        <w:rPr>
          <w:sz w:val="24"/>
          <w:szCs w:val="24"/>
        </w:rPr>
        <w:t xml:space="preserve"> to promote air safety and the use of the navigable airspace. To accomplish this mission, aeronautical studies </w:t>
      </w:r>
      <w:proofErr w:type="gramStart"/>
      <w:r>
        <w:rPr>
          <w:sz w:val="24"/>
          <w:szCs w:val="24"/>
        </w:rPr>
        <w:t>are conducted</w:t>
      </w:r>
      <w:proofErr w:type="gramEnd"/>
      <w:r>
        <w:rPr>
          <w:sz w:val="24"/>
          <w:szCs w:val="24"/>
        </w:rPr>
        <w:t xml:space="preserve"> based on information provided by proponents on an FAA Form 7460-1, Notice of Proposed Construction or Alteration.</w:t>
      </w:r>
    </w:p>
    <w:p w:rsidR="00D471B8" w:rsidRPr="00FC4023" w:rsidRDefault="00D471B8" w:rsidP="00D471B8">
      <w:pPr>
        <w:spacing w:after="0"/>
        <w:contextualSpacing/>
        <w:rPr>
          <w:sz w:val="24"/>
          <w:szCs w:val="24"/>
        </w:rPr>
      </w:pPr>
    </w:p>
    <w:p w:rsidR="00076A3C" w:rsidRDefault="00076A3C" w:rsidP="009A5555">
      <w:pPr>
        <w:spacing w:after="0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Permit Name</w:t>
      </w:r>
    </w:p>
    <w:p w:rsidR="00E10518" w:rsidRDefault="00E10518" w:rsidP="009A5555">
      <w:pPr>
        <w:spacing w:after="0" w:line="240" w:lineRule="auto"/>
        <w:contextualSpacing/>
        <w:jc w:val="both"/>
        <w:rPr>
          <w:b/>
          <w:u w:val="single"/>
        </w:rPr>
      </w:pPr>
      <w:bookmarkStart w:id="0" w:name="h.4d2re5q2wdoj" w:colFirst="0" w:colLast="0"/>
      <w:bookmarkEnd w:id="0"/>
      <w:r>
        <w:rPr>
          <w:rFonts w:ascii="Calibri" w:hAnsi="Calibri" w:cs="Calibri"/>
          <w:color w:val="000000"/>
        </w:rPr>
        <w:t>FAA Advisory Circular 70/7460-1L</w:t>
      </w:r>
      <w:r w:rsidRPr="00FC4023">
        <w:rPr>
          <w:b/>
          <w:u w:val="single"/>
        </w:rPr>
        <w:t xml:space="preserve"> </w:t>
      </w:r>
    </w:p>
    <w:p w:rsidR="00E10518" w:rsidRDefault="00E10518" w:rsidP="009A5555">
      <w:pPr>
        <w:spacing w:after="0" w:line="240" w:lineRule="auto"/>
        <w:contextualSpacing/>
        <w:jc w:val="both"/>
        <w:rPr>
          <w:b/>
          <w:u w:val="single"/>
        </w:rPr>
      </w:pPr>
    </w:p>
    <w:p w:rsidR="00076A3C" w:rsidRPr="00FC4023" w:rsidRDefault="00076A3C" w:rsidP="009A5555">
      <w:pPr>
        <w:spacing w:after="0" w:line="240" w:lineRule="auto"/>
        <w:contextualSpacing/>
        <w:jc w:val="both"/>
        <w:rPr>
          <w:u w:val="single"/>
        </w:rPr>
      </w:pPr>
      <w:r w:rsidRPr="00FC4023">
        <w:rPr>
          <w:b/>
          <w:u w:val="single"/>
        </w:rPr>
        <w:t>APPLICABILITY</w:t>
      </w:r>
    </w:p>
    <w:p w:rsidR="003B67D9" w:rsidRPr="00E10518" w:rsidRDefault="00424C09" w:rsidP="00B56ECE">
      <w:pPr>
        <w:numPr>
          <w:ilvl w:val="1"/>
          <w:numId w:val="23"/>
        </w:numPr>
        <w:tabs>
          <w:tab w:val="clear" w:pos="1440"/>
        </w:tabs>
        <w:ind w:left="630" w:hanging="630"/>
        <w:contextualSpacing/>
      </w:pPr>
      <w:r w:rsidRPr="00E10518">
        <w:rPr>
          <w:iCs/>
        </w:rPr>
        <w:t>Construction/alteration exceeding 200 feet above ground level (AGL)</w:t>
      </w:r>
    </w:p>
    <w:p w:rsidR="003B67D9" w:rsidRPr="00E10518" w:rsidRDefault="00424C09" w:rsidP="00B56ECE">
      <w:pPr>
        <w:numPr>
          <w:ilvl w:val="1"/>
          <w:numId w:val="23"/>
        </w:numPr>
        <w:tabs>
          <w:tab w:val="clear" w:pos="1440"/>
        </w:tabs>
        <w:spacing w:after="0"/>
        <w:ind w:left="630" w:hanging="630"/>
        <w:contextualSpacing/>
        <w:rPr>
          <w:sz w:val="24"/>
          <w:szCs w:val="24"/>
        </w:rPr>
      </w:pPr>
      <w:r w:rsidRPr="00E10518">
        <w:rPr>
          <w:iCs/>
          <w:sz w:val="24"/>
          <w:szCs w:val="24"/>
        </w:rPr>
        <w:t>Construction or alteration:</w:t>
      </w:r>
    </w:p>
    <w:p w:rsidR="00B56ECE" w:rsidRDefault="00424C09" w:rsidP="00B56ECE">
      <w:pPr>
        <w:numPr>
          <w:ilvl w:val="1"/>
          <w:numId w:val="23"/>
        </w:numPr>
        <w:spacing w:after="0"/>
        <w:contextualSpacing/>
        <w:rPr>
          <w:sz w:val="24"/>
          <w:szCs w:val="24"/>
        </w:rPr>
      </w:pPr>
      <w:r w:rsidRPr="00E10518">
        <w:rPr>
          <w:iCs/>
          <w:sz w:val="24"/>
          <w:szCs w:val="24"/>
        </w:rPr>
        <w:t>Within 20,000 feet of public use/military airport </w:t>
      </w:r>
    </w:p>
    <w:p w:rsidR="003B67D9" w:rsidRPr="00B56ECE" w:rsidRDefault="00424C09" w:rsidP="00B56ECE">
      <w:pPr>
        <w:numPr>
          <w:ilvl w:val="1"/>
          <w:numId w:val="23"/>
        </w:numPr>
        <w:spacing w:after="0"/>
        <w:contextualSpacing/>
        <w:rPr>
          <w:sz w:val="24"/>
          <w:szCs w:val="24"/>
        </w:rPr>
      </w:pPr>
      <w:r w:rsidRPr="00B56ECE">
        <w:rPr>
          <w:iCs/>
          <w:sz w:val="24"/>
          <w:szCs w:val="24"/>
        </w:rPr>
        <w:t>Within 5,000 feet of public use heliport</w:t>
      </w:r>
    </w:p>
    <w:p w:rsidR="003B67D9" w:rsidRPr="00E10518" w:rsidRDefault="00424C09" w:rsidP="00B56ECE">
      <w:pPr>
        <w:numPr>
          <w:ilvl w:val="1"/>
          <w:numId w:val="23"/>
        </w:numPr>
        <w:tabs>
          <w:tab w:val="clear" w:pos="1440"/>
        </w:tabs>
        <w:spacing w:after="0"/>
        <w:ind w:left="630" w:hanging="630"/>
        <w:contextualSpacing/>
        <w:rPr>
          <w:sz w:val="24"/>
          <w:szCs w:val="24"/>
        </w:rPr>
      </w:pPr>
      <w:r w:rsidRPr="00E10518">
        <w:rPr>
          <w:iCs/>
          <w:sz w:val="24"/>
          <w:szCs w:val="24"/>
        </w:rPr>
        <w:t>Any highway, railroad or other traverse way whose prescribed adjusted height is &gt;200 feet AGL</w:t>
      </w:r>
    </w:p>
    <w:p w:rsidR="003B67D9" w:rsidRPr="00E10518" w:rsidRDefault="00424C09" w:rsidP="00B56ECE">
      <w:pPr>
        <w:numPr>
          <w:ilvl w:val="1"/>
          <w:numId w:val="23"/>
        </w:numPr>
        <w:tabs>
          <w:tab w:val="clear" w:pos="1440"/>
        </w:tabs>
        <w:spacing w:after="0"/>
        <w:ind w:left="630" w:hanging="630"/>
        <w:contextualSpacing/>
        <w:rPr>
          <w:sz w:val="24"/>
          <w:szCs w:val="24"/>
        </w:rPr>
      </w:pPr>
      <w:r w:rsidRPr="00E10518">
        <w:rPr>
          <w:iCs/>
          <w:sz w:val="24"/>
          <w:szCs w:val="24"/>
        </w:rPr>
        <w:t>When requested by the FAA; or</w:t>
      </w:r>
    </w:p>
    <w:p w:rsidR="0003407D" w:rsidRDefault="000C5E15" w:rsidP="0003407D">
      <w:pPr>
        <w:numPr>
          <w:ilvl w:val="1"/>
          <w:numId w:val="23"/>
        </w:numPr>
        <w:tabs>
          <w:tab w:val="clear" w:pos="1440"/>
        </w:tabs>
        <w:spacing w:after="0"/>
        <w:ind w:left="630" w:hanging="630"/>
        <w:contextualSpacing/>
        <w:rPr>
          <w:sz w:val="24"/>
          <w:szCs w:val="24"/>
        </w:rPr>
      </w:pPr>
      <w:r>
        <w:rPr>
          <w:iCs/>
          <w:sz w:val="24"/>
          <w:szCs w:val="24"/>
        </w:rPr>
        <w:t>A</w:t>
      </w:r>
      <w:r w:rsidR="00424C09" w:rsidRPr="00E10518">
        <w:rPr>
          <w:iCs/>
          <w:sz w:val="24"/>
          <w:szCs w:val="24"/>
        </w:rPr>
        <w:t xml:space="preserve">ny construction or alteration located on airport or heliport </w:t>
      </w:r>
    </w:p>
    <w:p w:rsidR="0003407D" w:rsidRPr="0003407D" w:rsidRDefault="0003407D" w:rsidP="0003407D">
      <w:pPr>
        <w:numPr>
          <w:ilvl w:val="1"/>
          <w:numId w:val="23"/>
        </w:numPr>
        <w:tabs>
          <w:tab w:val="clear" w:pos="1440"/>
        </w:tabs>
        <w:spacing w:after="0"/>
        <w:ind w:left="630" w:hanging="630"/>
        <w:contextualSpacing/>
        <w:rPr>
          <w:sz w:val="24"/>
          <w:szCs w:val="24"/>
        </w:rPr>
      </w:pPr>
      <w:r>
        <w:rPr>
          <w:sz w:val="24"/>
          <w:szCs w:val="24"/>
        </w:rPr>
        <w:t>LA</w:t>
      </w:r>
      <w:r w:rsidR="0019742B">
        <w:rPr>
          <w:sz w:val="24"/>
          <w:szCs w:val="24"/>
        </w:rPr>
        <w:t>NDFILLS have a 6 mile required separation distance to a MSWLF. Rural Alaska solid landfills have a 1 mile required separation distance to the landfills.</w:t>
      </w:r>
    </w:p>
    <w:p w:rsidR="000C5E15" w:rsidRDefault="000C5E15" w:rsidP="009A5555">
      <w:pPr>
        <w:spacing w:after="0"/>
        <w:contextualSpacing/>
        <w:rPr>
          <w:b/>
          <w:sz w:val="24"/>
          <w:szCs w:val="24"/>
          <w:u w:val="single"/>
        </w:rPr>
      </w:pPr>
    </w:p>
    <w:p w:rsidR="00BC3EDB" w:rsidRDefault="00BC3EDB" w:rsidP="009A5555">
      <w:pPr>
        <w:spacing w:after="0"/>
        <w:contextualSpacing/>
        <w:rPr>
          <w:b/>
          <w:sz w:val="24"/>
          <w:szCs w:val="24"/>
          <w:u w:val="single"/>
        </w:rPr>
      </w:pPr>
      <w:r w:rsidRPr="00A63516">
        <w:rPr>
          <w:b/>
          <w:sz w:val="24"/>
          <w:szCs w:val="24"/>
          <w:u w:val="single"/>
        </w:rPr>
        <w:t>Agency Coordination:</w:t>
      </w:r>
    </w:p>
    <w:p w:rsidR="000C5E15" w:rsidRDefault="0019742B" w:rsidP="009A5555">
      <w:pPr>
        <w:spacing w:after="0"/>
        <w:contextualSpacing/>
        <w:rPr>
          <w:sz w:val="24"/>
          <w:szCs w:val="24"/>
          <w:u w:val="single"/>
        </w:rPr>
      </w:pPr>
      <w:hyperlink r:id="rId5" w:history="1">
        <w:r w:rsidR="000C5E15" w:rsidRPr="000C5E15">
          <w:rPr>
            <w:rStyle w:val="Hyperlink"/>
            <w:sz w:val="24"/>
            <w:szCs w:val="24"/>
          </w:rPr>
          <w:t>https://www.faa.gov/airports/alaskan/about_airports/media/airports-personnel-aal.pdf</w:t>
        </w:r>
      </w:hyperlink>
      <w:r w:rsidR="000C5E15" w:rsidRPr="000C5E15">
        <w:rPr>
          <w:sz w:val="24"/>
          <w:szCs w:val="24"/>
          <w:u w:val="single"/>
        </w:rPr>
        <w:t xml:space="preserve"> </w:t>
      </w:r>
    </w:p>
    <w:p w:rsidR="000C5E15" w:rsidRPr="000C5E15" w:rsidRDefault="000C5E15" w:rsidP="009A5555">
      <w:pPr>
        <w:spacing w:after="0"/>
        <w:contextualSpacing/>
        <w:rPr>
          <w:sz w:val="24"/>
          <w:szCs w:val="24"/>
          <w:u w:val="single"/>
        </w:rPr>
      </w:pPr>
    </w:p>
    <w:p w:rsidR="005C3146" w:rsidRDefault="00B51DAF" w:rsidP="009A5555">
      <w:pPr>
        <w:spacing w:after="0"/>
        <w:contextualSpacing/>
        <w:rPr>
          <w:rFonts w:cs="Segoe UI"/>
          <w:b/>
          <w:color w:val="000000"/>
          <w:sz w:val="24"/>
          <w:szCs w:val="24"/>
          <w:u w:val="single"/>
        </w:rPr>
      </w:pPr>
      <w:r w:rsidRPr="0073445B">
        <w:rPr>
          <w:rFonts w:cs="Segoe UI"/>
          <w:b/>
          <w:color w:val="000000"/>
          <w:sz w:val="24"/>
          <w:szCs w:val="24"/>
          <w:u w:val="single"/>
        </w:rPr>
        <w:t>Information Necessary:</w:t>
      </w:r>
    </w:p>
    <w:p w:rsidR="003316BA" w:rsidRDefault="00EB3258" w:rsidP="009A5555">
      <w:pPr>
        <w:pStyle w:val="ListParagraph"/>
        <w:numPr>
          <w:ilvl w:val="0"/>
          <w:numId w:val="4"/>
        </w:numPr>
        <w:rPr>
          <w:rFonts w:asciiTheme="minorHAnsi" w:hAnsiTheme="minorHAnsi" w:cs="Segoe UI"/>
          <w:color w:val="000000"/>
          <w:sz w:val="22"/>
          <w:szCs w:val="22"/>
        </w:rPr>
      </w:pPr>
      <w:r>
        <w:rPr>
          <w:rFonts w:asciiTheme="minorHAnsi" w:hAnsiTheme="minorHAnsi" w:cs="Segoe UI"/>
          <w:color w:val="000000"/>
          <w:sz w:val="22"/>
          <w:szCs w:val="22"/>
        </w:rPr>
        <w:t>Project l</w:t>
      </w:r>
      <w:r w:rsidR="006449A2">
        <w:rPr>
          <w:rFonts w:asciiTheme="minorHAnsi" w:hAnsiTheme="minorHAnsi" w:cs="Segoe UI"/>
          <w:color w:val="000000"/>
          <w:sz w:val="22"/>
          <w:szCs w:val="22"/>
        </w:rPr>
        <w:t>oca</w:t>
      </w:r>
      <w:r>
        <w:rPr>
          <w:rFonts w:asciiTheme="minorHAnsi" w:hAnsiTheme="minorHAnsi" w:cs="Segoe UI"/>
          <w:color w:val="000000"/>
          <w:sz w:val="22"/>
          <w:szCs w:val="22"/>
        </w:rPr>
        <w:t>tion, mapping, schedule, surveyed heights.</w:t>
      </w:r>
    </w:p>
    <w:p w:rsidR="00EB3258" w:rsidRDefault="00EB3258" w:rsidP="009A5555">
      <w:pPr>
        <w:pStyle w:val="ListParagraph"/>
        <w:numPr>
          <w:ilvl w:val="0"/>
          <w:numId w:val="4"/>
        </w:numPr>
        <w:rPr>
          <w:rFonts w:asciiTheme="minorHAnsi" w:hAnsiTheme="minorHAnsi" w:cs="Segoe UI"/>
          <w:color w:val="000000"/>
          <w:sz w:val="22"/>
          <w:szCs w:val="22"/>
        </w:rPr>
      </w:pPr>
      <w:r>
        <w:rPr>
          <w:rFonts w:asciiTheme="minorHAnsi" w:hAnsiTheme="minorHAnsi" w:cs="Segoe UI"/>
          <w:color w:val="000000"/>
          <w:sz w:val="22"/>
          <w:szCs w:val="22"/>
        </w:rPr>
        <w:t>Determined prop</w:t>
      </w:r>
      <w:bookmarkStart w:id="1" w:name="_GoBack"/>
      <w:bookmarkEnd w:id="1"/>
      <w:r>
        <w:rPr>
          <w:rFonts w:asciiTheme="minorHAnsi" w:hAnsiTheme="minorHAnsi" w:cs="Segoe UI"/>
          <w:color w:val="000000"/>
          <w:sz w:val="22"/>
          <w:szCs w:val="22"/>
        </w:rPr>
        <w:t>er lighting and marking solution for the project in order to expedite the application process.</w:t>
      </w:r>
    </w:p>
    <w:p w:rsidR="003B601A" w:rsidRPr="00FC4023" w:rsidRDefault="003B601A" w:rsidP="009A5555">
      <w:pPr>
        <w:spacing w:after="0"/>
        <w:contextualSpacing/>
        <w:rPr>
          <w:rFonts w:cs="Segoe UI"/>
          <w:b/>
          <w:color w:val="000000"/>
          <w:sz w:val="24"/>
          <w:szCs w:val="24"/>
          <w:u w:val="single"/>
        </w:rPr>
      </w:pPr>
    </w:p>
    <w:p w:rsidR="0073445B" w:rsidRDefault="0073445B" w:rsidP="009A5555">
      <w:pPr>
        <w:spacing w:after="0"/>
        <w:contextualSpacing/>
        <w:rPr>
          <w:rFonts w:cs="Segoe UI"/>
          <w:b/>
          <w:color w:val="000000"/>
          <w:sz w:val="24"/>
          <w:szCs w:val="24"/>
          <w:u w:val="single"/>
        </w:rPr>
      </w:pPr>
      <w:r w:rsidRPr="0073445B">
        <w:rPr>
          <w:rFonts w:cs="Segoe UI"/>
          <w:b/>
          <w:color w:val="000000"/>
          <w:sz w:val="24"/>
          <w:szCs w:val="24"/>
          <w:u w:val="single"/>
        </w:rPr>
        <w:t>Enforcement and Penalties:</w:t>
      </w:r>
    </w:p>
    <w:p w:rsidR="00D62B9D" w:rsidRDefault="00D62B9D" w:rsidP="00D62B9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Direct legal stop work for project.</w:t>
      </w:r>
    </w:p>
    <w:p w:rsidR="00D62B9D" w:rsidRDefault="00D62B9D" w:rsidP="00D62B9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FAA can pursue direct legal actions for noncompliance, fines upwards of $1000</w:t>
      </w:r>
    </w:p>
    <w:p w:rsidR="00D62B9D" w:rsidRPr="0073445B" w:rsidRDefault="00D62B9D" w:rsidP="009A5555">
      <w:pPr>
        <w:spacing w:after="0"/>
        <w:contextualSpacing/>
        <w:rPr>
          <w:rFonts w:cs="Segoe UI"/>
          <w:b/>
          <w:color w:val="000000"/>
          <w:sz w:val="24"/>
          <w:szCs w:val="24"/>
          <w:u w:val="single"/>
        </w:rPr>
      </w:pPr>
    </w:p>
    <w:p w:rsidR="00076A3C" w:rsidRPr="00FC4023" w:rsidRDefault="00076A3C" w:rsidP="009A5555">
      <w:pPr>
        <w:spacing w:after="0" w:line="240" w:lineRule="auto"/>
        <w:contextualSpacing/>
        <w:jc w:val="both"/>
        <w:rPr>
          <w:b/>
          <w:u w:val="single"/>
        </w:rPr>
      </w:pPr>
      <w:bookmarkStart w:id="2" w:name="h.y33bxdpuvswp" w:colFirst="0" w:colLast="0"/>
      <w:bookmarkStart w:id="3" w:name="h.rabv6ryip3q0" w:colFirst="0" w:colLast="0"/>
      <w:bookmarkEnd w:id="2"/>
      <w:bookmarkEnd w:id="3"/>
      <w:r w:rsidRPr="00FC4023">
        <w:rPr>
          <w:b/>
          <w:u w:val="single"/>
        </w:rPr>
        <w:t>REGULATIONS (CFR)</w:t>
      </w:r>
    </w:p>
    <w:p w:rsidR="00076A3C" w:rsidRPr="00D62B9D" w:rsidRDefault="003B601A" w:rsidP="009A5555">
      <w:pPr>
        <w:spacing w:after="0" w:line="240" w:lineRule="auto"/>
        <w:ind w:firstLine="720"/>
        <w:contextualSpacing/>
        <w:jc w:val="both"/>
      </w:pPr>
      <w:r w:rsidRPr="00D62B9D">
        <w:t>Title 14 of the CFR Part 77</w:t>
      </w:r>
    </w:p>
    <w:p w:rsidR="00D62B9D" w:rsidRPr="00FC4023" w:rsidRDefault="00D62B9D" w:rsidP="009A5555">
      <w:pPr>
        <w:spacing w:after="0" w:line="240" w:lineRule="auto"/>
        <w:ind w:firstLine="720"/>
        <w:contextualSpacing/>
        <w:jc w:val="both"/>
      </w:pPr>
    </w:p>
    <w:p w:rsidR="00FC4023" w:rsidRPr="00595770" w:rsidRDefault="00FC4023" w:rsidP="009A5555">
      <w:pPr>
        <w:spacing w:after="0" w:line="240" w:lineRule="auto"/>
        <w:contextualSpacing/>
        <w:jc w:val="both"/>
        <w:rPr>
          <w:b/>
          <w:u w:val="single"/>
        </w:rPr>
      </w:pPr>
      <w:bookmarkStart w:id="4" w:name="h.mhzpe8wssxmh" w:colFirst="0" w:colLast="0"/>
      <w:bookmarkStart w:id="5" w:name="h.nnhnj2v6nfho" w:colFirst="0" w:colLast="0"/>
      <w:bookmarkStart w:id="6" w:name="h.yhwvryw2ht3s" w:colFirst="0" w:colLast="0"/>
      <w:bookmarkEnd w:id="4"/>
      <w:bookmarkEnd w:id="5"/>
      <w:bookmarkEnd w:id="6"/>
      <w:r w:rsidRPr="00FC4023">
        <w:rPr>
          <w:b/>
          <w:u w:val="single"/>
        </w:rPr>
        <w:t>Other Resources</w:t>
      </w:r>
      <w:r w:rsidR="00D62B9D">
        <w:t xml:space="preserve"> </w:t>
      </w:r>
    </w:p>
    <w:p w:rsidR="000C5E15" w:rsidRDefault="000C5E15" w:rsidP="00595770">
      <w:pPr>
        <w:spacing w:after="0" w:line="240" w:lineRule="auto"/>
        <w:ind w:left="1440" w:firstLine="720"/>
        <w:contextualSpacing/>
        <w:jc w:val="both"/>
        <w:rPr>
          <w:b/>
        </w:rPr>
      </w:pPr>
      <w:r w:rsidRPr="00595770">
        <w:rPr>
          <w:b/>
        </w:rPr>
        <w:t xml:space="preserve"> (See resources and in Google File Folder)</w:t>
      </w:r>
    </w:p>
    <w:p w:rsidR="00595770" w:rsidRPr="00595770" w:rsidRDefault="0019742B" w:rsidP="00595770">
      <w:pPr>
        <w:spacing w:after="0" w:line="240" w:lineRule="auto"/>
        <w:ind w:left="1440" w:firstLine="720"/>
        <w:contextualSpacing/>
        <w:jc w:val="both"/>
        <w:rPr>
          <w:b/>
        </w:rPr>
      </w:pPr>
      <w:hyperlink r:id="rId6" w:history="1">
        <w:r w:rsidR="00595770" w:rsidRPr="005123B7">
          <w:rPr>
            <w:rStyle w:val="Hyperlink"/>
          </w:rPr>
          <w:t>https://www.faa.gov/airports/environmental/</w:t>
        </w:r>
      </w:hyperlink>
    </w:p>
    <w:p w:rsidR="000C5E15" w:rsidRDefault="000C5E15" w:rsidP="009A5555">
      <w:pPr>
        <w:spacing w:after="0" w:line="240" w:lineRule="auto"/>
        <w:contextualSpacing/>
        <w:jc w:val="both"/>
      </w:pPr>
    </w:p>
    <w:p w:rsidR="00076A3C" w:rsidRDefault="00076A3C" w:rsidP="009A5555">
      <w:pPr>
        <w:spacing w:after="0" w:line="240" w:lineRule="auto"/>
        <w:contextualSpacing/>
        <w:jc w:val="both"/>
        <w:rPr>
          <w:b/>
          <w:u w:val="single"/>
        </w:rPr>
      </w:pPr>
      <w:bookmarkStart w:id="7" w:name="h.z2m9u5dq7350" w:colFirst="0" w:colLast="0"/>
      <w:bookmarkStart w:id="8" w:name="h.3cvge8lweb0r" w:colFirst="0" w:colLast="0"/>
      <w:bookmarkStart w:id="9" w:name="h.9kkbpdp5a2hw" w:colFirst="0" w:colLast="0"/>
      <w:bookmarkEnd w:id="7"/>
      <w:bookmarkEnd w:id="8"/>
      <w:bookmarkEnd w:id="9"/>
      <w:r w:rsidRPr="009A5555">
        <w:rPr>
          <w:b/>
          <w:u w:val="single"/>
        </w:rPr>
        <w:t>TEMPLATE</w:t>
      </w:r>
    </w:p>
    <w:p w:rsidR="003B601A" w:rsidRPr="000C5E15" w:rsidRDefault="0019742B" w:rsidP="009A5555">
      <w:pPr>
        <w:spacing w:after="0" w:line="240" w:lineRule="auto"/>
        <w:contextualSpacing/>
        <w:jc w:val="both"/>
      </w:pPr>
      <w:hyperlink r:id="rId7" w:history="1">
        <w:r w:rsidR="003236AE">
          <w:rPr>
            <w:rStyle w:val="Hyperlink"/>
            <w:rFonts w:ascii="Calibri" w:hAnsi="Calibri" w:cs="Calibri"/>
            <w:color w:val="1155CC"/>
          </w:rPr>
          <w:t>http://www.faa.gov/documentLibrary/media/Form/FAA_Form_7460-1_2017.pdf</w:t>
        </w:r>
      </w:hyperlink>
    </w:p>
    <w:sectPr w:rsidR="003B601A" w:rsidRPr="000C5E15" w:rsidSect="0059577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68B"/>
    <w:multiLevelType w:val="multilevel"/>
    <w:tmpl w:val="2CFAB75C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color w:val="151515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81419BB"/>
    <w:multiLevelType w:val="hybridMultilevel"/>
    <w:tmpl w:val="A2E0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24FCF"/>
    <w:multiLevelType w:val="hybridMultilevel"/>
    <w:tmpl w:val="432C8420"/>
    <w:lvl w:ilvl="0" w:tplc="B888EFE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D3102"/>
    <w:multiLevelType w:val="multilevel"/>
    <w:tmpl w:val="C202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161A49"/>
    <w:multiLevelType w:val="multilevel"/>
    <w:tmpl w:val="3F6C8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580D98"/>
    <w:multiLevelType w:val="hybridMultilevel"/>
    <w:tmpl w:val="80C8F5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D1A53"/>
    <w:multiLevelType w:val="hybridMultilevel"/>
    <w:tmpl w:val="F00A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5EF4"/>
    <w:multiLevelType w:val="hybridMultilevel"/>
    <w:tmpl w:val="EF40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34359"/>
    <w:multiLevelType w:val="multilevel"/>
    <w:tmpl w:val="F114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7B776F"/>
    <w:multiLevelType w:val="multilevel"/>
    <w:tmpl w:val="4C4A23D4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color w:val="151515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0610F45"/>
    <w:multiLevelType w:val="hybridMultilevel"/>
    <w:tmpl w:val="E230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65653"/>
    <w:multiLevelType w:val="hybridMultilevel"/>
    <w:tmpl w:val="05ACD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A5D84"/>
    <w:multiLevelType w:val="multilevel"/>
    <w:tmpl w:val="A8EC0B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5D624F51"/>
    <w:multiLevelType w:val="multilevel"/>
    <w:tmpl w:val="4CF81900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color w:val="151515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5ECF6B95"/>
    <w:multiLevelType w:val="multilevel"/>
    <w:tmpl w:val="08DACFD0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color w:val="151515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Verdana" w:eastAsia="Verdana" w:hAnsi="Verdana" w:cs="Verdana"/>
        <w:color w:val="151515"/>
        <w:sz w:val="24"/>
        <w:szCs w:val="24"/>
        <w:highlight w:val="white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61106187"/>
    <w:multiLevelType w:val="hybridMultilevel"/>
    <w:tmpl w:val="9C9A7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71807"/>
    <w:multiLevelType w:val="multilevel"/>
    <w:tmpl w:val="0750D6FA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color w:val="151515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6A162232"/>
    <w:multiLevelType w:val="multilevel"/>
    <w:tmpl w:val="3BB27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601D7A"/>
    <w:multiLevelType w:val="hybridMultilevel"/>
    <w:tmpl w:val="1CA65694"/>
    <w:lvl w:ilvl="0" w:tplc="CCA6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24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E8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B67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2D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61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83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A63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54D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E021566"/>
    <w:multiLevelType w:val="multilevel"/>
    <w:tmpl w:val="1C0C42C2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color w:val="151515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74F05FB7"/>
    <w:multiLevelType w:val="hybridMultilevel"/>
    <w:tmpl w:val="8B12B1B4"/>
    <w:lvl w:ilvl="0" w:tplc="DF426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A0C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EE508">
      <w:start w:val="18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828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EC7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AE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D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6AA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6EC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A7A68EF"/>
    <w:multiLevelType w:val="multilevel"/>
    <w:tmpl w:val="D88AE744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color w:val="151515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Verdana" w:eastAsia="Verdana" w:hAnsi="Verdana" w:cs="Verdana"/>
        <w:color w:val="151515"/>
        <w:sz w:val="24"/>
        <w:szCs w:val="24"/>
        <w:highlight w:val="white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4"/>
  </w:num>
  <w:num w:numId="8">
    <w:abstractNumId w:val="0"/>
  </w:num>
  <w:num w:numId="9">
    <w:abstractNumId w:val="21"/>
  </w:num>
  <w:num w:numId="10">
    <w:abstractNumId w:val="12"/>
  </w:num>
  <w:num w:numId="11">
    <w:abstractNumId w:val="19"/>
  </w:num>
  <w:num w:numId="12">
    <w:abstractNumId w:val="9"/>
  </w:num>
  <w:num w:numId="13">
    <w:abstractNumId w:val="16"/>
  </w:num>
  <w:num w:numId="14">
    <w:abstractNumId w:val="13"/>
  </w:num>
  <w:num w:numId="15">
    <w:abstractNumId w:val="15"/>
  </w:num>
  <w:num w:numId="16">
    <w:abstractNumId w:val="2"/>
  </w:num>
  <w:num w:numId="17">
    <w:abstractNumId w:val="10"/>
  </w:num>
  <w:num w:numId="18">
    <w:abstractNumId w:val="7"/>
  </w:num>
  <w:num w:numId="19">
    <w:abstractNumId w:val="1"/>
  </w:num>
  <w:num w:numId="20">
    <w:abstractNumId w:val="11"/>
  </w:num>
  <w:num w:numId="21">
    <w:abstractNumId w:val="17"/>
  </w:num>
  <w:num w:numId="22">
    <w:abstractNumId w:val="17"/>
    <w:lvlOverride w:ilvl="1">
      <w:lvl w:ilvl="1">
        <w:numFmt w:val="lowerLetter"/>
        <w:lvlText w:val="%2."/>
        <w:lvlJc w:val="left"/>
      </w:lvl>
    </w:lvlOverride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DB"/>
    <w:rsid w:val="000158D7"/>
    <w:rsid w:val="0003407D"/>
    <w:rsid w:val="00076A3C"/>
    <w:rsid w:val="00081A1F"/>
    <w:rsid w:val="000C5E15"/>
    <w:rsid w:val="00174EF8"/>
    <w:rsid w:val="00191309"/>
    <w:rsid w:val="0019742B"/>
    <w:rsid w:val="001B178A"/>
    <w:rsid w:val="001E7F91"/>
    <w:rsid w:val="001F207F"/>
    <w:rsid w:val="002A321D"/>
    <w:rsid w:val="002A3FC2"/>
    <w:rsid w:val="00317ACA"/>
    <w:rsid w:val="003236AE"/>
    <w:rsid w:val="003316BA"/>
    <w:rsid w:val="003A3197"/>
    <w:rsid w:val="003B601A"/>
    <w:rsid w:val="003B67D9"/>
    <w:rsid w:val="003D52BB"/>
    <w:rsid w:val="00424C09"/>
    <w:rsid w:val="00480AB7"/>
    <w:rsid w:val="004D1365"/>
    <w:rsid w:val="004F41FE"/>
    <w:rsid w:val="00555780"/>
    <w:rsid w:val="00595770"/>
    <w:rsid w:val="005B665B"/>
    <w:rsid w:val="005C3146"/>
    <w:rsid w:val="006449A2"/>
    <w:rsid w:val="006E7F68"/>
    <w:rsid w:val="00715F46"/>
    <w:rsid w:val="0073445B"/>
    <w:rsid w:val="007E00FA"/>
    <w:rsid w:val="007F1855"/>
    <w:rsid w:val="00833017"/>
    <w:rsid w:val="0084376F"/>
    <w:rsid w:val="00892F92"/>
    <w:rsid w:val="008B2102"/>
    <w:rsid w:val="009A5555"/>
    <w:rsid w:val="00A57CB5"/>
    <w:rsid w:val="00A63516"/>
    <w:rsid w:val="00A66FFB"/>
    <w:rsid w:val="00B06B10"/>
    <w:rsid w:val="00B306C7"/>
    <w:rsid w:val="00B51DAF"/>
    <w:rsid w:val="00B56ECE"/>
    <w:rsid w:val="00BC3EDB"/>
    <w:rsid w:val="00C21E4A"/>
    <w:rsid w:val="00CA1E10"/>
    <w:rsid w:val="00D471B8"/>
    <w:rsid w:val="00D62B9D"/>
    <w:rsid w:val="00E10518"/>
    <w:rsid w:val="00EB3258"/>
    <w:rsid w:val="00EE75EA"/>
    <w:rsid w:val="00EF40FA"/>
    <w:rsid w:val="00F379AA"/>
    <w:rsid w:val="00F45868"/>
    <w:rsid w:val="00FC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00EAE"/>
  <w15:docId w15:val="{850EED0A-016D-4EC2-B675-2A276C44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076A3C"/>
    <w:pPr>
      <w:keepNext/>
      <w:keepLines/>
      <w:spacing w:before="360" w:after="80" w:line="276" w:lineRule="auto"/>
      <w:contextualSpacing/>
      <w:outlineLvl w:val="1"/>
    </w:pPr>
    <w:rPr>
      <w:rFonts w:ascii="Calibri" w:eastAsia="Calibri" w:hAnsi="Calibri" w:cs="Calibri"/>
      <w:b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076A3C"/>
    <w:pPr>
      <w:keepNext/>
      <w:keepLines/>
      <w:spacing w:before="280" w:after="80" w:line="276" w:lineRule="auto"/>
      <w:contextualSpacing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E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3E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F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F40F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076A3C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076A3C"/>
    <w:rPr>
      <w:rFonts w:ascii="Calibri" w:eastAsia="Calibri" w:hAnsi="Calibri" w:cs="Calibri"/>
      <w:b/>
      <w:color w:val="000000"/>
      <w:sz w:val="28"/>
      <w:szCs w:val="28"/>
    </w:rPr>
  </w:style>
  <w:style w:type="paragraph" w:customStyle="1" w:styleId="lucida9">
    <w:name w:val="lucida9"/>
    <w:basedOn w:val="Normal"/>
    <w:rsid w:val="00076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76A3C"/>
  </w:style>
  <w:style w:type="paragraph" w:styleId="NormalWeb">
    <w:name w:val="Normal (Web)"/>
    <w:basedOn w:val="Normal"/>
    <w:uiPriority w:val="99"/>
    <w:semiHidden/>
    <w:unhideWhenUsed/>
    <w:rsid w:val="00D6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5678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877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21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47474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single" w:sz="6" w:space="0" w:color="3399FF"/>
                            <w:left w:val="single" w:sz="6" w:space="0" w:color="3399FF"/>
                            <w:bottom w:val="single" w:sz="6" w:space="0" w:color="3399FF"/>
                            <w:right w:val="single" w:sz="6" w:space="0" w:color="3399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70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2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5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3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0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7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9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45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a.gov/documentLibrary/media/Form/FAA_Form_7460-1_20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a.gov/airports/environmental/" TargetMode="External"/><Relationship Id="rId5" Type="http://schemas.openxmlformats.org/officeDocument/2006/relationships/hyperlink" Target="https://www.faa.gov/airports/alaskan/about_airports/media/airports-personnel-aal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Bullock</dc:creator>
  <cp:keywords/>
  <dc:description/>
  <cp:lastModifiedBy>Tidler, Sophia D</cp:lastModifiedBy>
  <cp:revision>5</cp:revision>
  <cp:lastPrinted>2016-02-15T21:18:00Z</cp:lastPrinted>
  <dcterms:created xsi:type="dcterms:W3CDTF">2020-01-30T04:44:00Z</dcterms:created>
  <dcterms:modified xsi:type="dcterms:W3CDTF">2020-04-16T01:38:00Z</dcterms:modified>
</cp:coreProperties>
</file>